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4679" w:type="dxa"/>
          </w:tcPr>
          <w:p/>
        </w:tc>
        <w:tc>
          <w:tcPr>
            <w:tcW w:w="993" w:type="dxa"/>
          </w:tcPr>
          <w:p/>
        </w:tc>
      </w:tr>
      <w:tr>
        <w:trPr>
          <w:trHeight w:hRule="exact" w:val="380.582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w:t>
            </w:r>
          </w:p>
          <w:p>
            <w:pPr>
              <w:jc w:val="left"/>
              <w:spacing w:after="0" w:line="240" w:lineRule="auto"/>
              <w:rPr>
                <w:sz w:val="24"/>
                <w:szCs w:val="24"/>
              </w:rPr>
            </w:pPr>
            <w:r>
              <w:rPr>
                <w:rFonts w:ascii="Times New Roman" w:hAnsi="Times New Roman" w:cs="Times New Roman"/>
                <w:b/>
                <w:color w:val="#000000"/>
                <w:sz w:val="24"/>
                <w:szCs w:val="24"/>
              </w:rPr>
              <w:t>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развитияе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Гланвые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3789.5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911.1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70.14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w:t>
            </w:r>
          </w:p>
          <w:p>
            <w:pPr>
              <w:jc w:val="both"/>
              <w:spacing w:after="0" w:line="240" w:lineRule="auto"/>
              <w:rPr>
                <w:sz w:val="24"/>
                <w:szCs w:val="24"/>
              </w:rPr>
            </w:pPr>
            <w:r>
              <w:rPr>
                <w:rFonts w:ascii="Times New Roman" w:hAnsi="Times New Roman" w:cs="Times New Roman"/>
                <w:color w:val="#000000"/>
                <w:sz w:val="24"/>
                <w:szCs w:val="24"/>
              </w:rPr>
              <w:t>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w:t>
            </w:r>
          </w:p>
          <w:p>
            <w:pPr>
              <w:jc w:val="both"/>
              <w:spacing w:after="0" w:line="240" w:lineRule="auto"/>
              <w:rPr>
                <w:sz w:val="24"/>
                <w:szCs w:val="24"/>
              </w:rPr>
            </w:pPr>
            <w:r>
              <w:rPr>
                <w:rFonts w:ascii="Times New Roman" w:hAnsi="Times New Roman" w:cs="Times New Roman"/>
                <w:color w:val="#000000"/>
                <w:sz w:val="24"/>
                <w:szCs w:val="24"/>
              </w:rPr>
              <w:t>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2263.5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w:t>
            </w:r>
          </w:p>
          <w:p>
            <w:pPr>
              <w:jc w:val="both"/>
              <w:spacing w:after="0" w:line="240" w:lineRule="auto"/>
              <w:rPr>
                <w:sz w:val="24"/>
                <w:szCs w:val="24"/>
              </w:rPr>
            </w:pPr>
            <w:r>
              <w:rPr>
                <w:rFonts w:ascii="Times New Roman" w:hAnsi="Times New Roman" w:cs="Times New Roman"/>
                <w:color w:val="#000000"/>
                <w:sz w:val="24"/>
                <w:szCs w:val="24"/>
              </w:rPr>
              <w:t> Деблокирование Ленинграда.</w:t>
            </w:r>
          </w:p>
          <w:p>
            <w:pPr>
              <w:jc w:val="both"/>
              <w:spacing w:after="0" w:line="240" w:lineRule="auto"/>
              <w:rPr>
                <w:sz w:val="24"/>
                <w:szCs w:val="24"/>
              </w:rPr>
            </w:pPr>
            <w:r>
              <w:rPr>
                <w:rFonts w:ascii="Times New Roman" w:hAnsi="Times New Roman" w:cs="Times New Roman"/>
                <w:color w:val="#000000"/>
                <w:sz w:val="24"/>
                <w:szCs w:val="24"/>
              </w:rPr>
              <w:t> Основные причины успеха советских войск в ходе зимнего контрнаступления.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w:t>
            </w:r>
          </w:p>
          <w:p>
            <w:pPr>
              <w:jc w:val="both"/>
              <w:spacing w:after="0" w:line="240" w:lineRule="auto"/>
              <w:rPr>
                <w:sz w:val="24"/>
                <w:szCs w:val="24"/>
              </w:rPr>
            </w:pPr>
            <w:r>
              <w:rPr>
                <w:rFonts w:ascii="Times New Roman" w:hAnsi="Times New Roman" w:cs="Times New Roman"/>
                <w:color w:val="#000000"/>
                <w:sz w:val="24"/>
                <w:szCs w:val="24"/>
              </w:rPr>
              <w:t> Итоги Великой Отечественной и Второй мировой войны. Решающий вклад СССР в победу антигитлеровской коалиции. Людские и материальные</w:t>
            </w:r>
          </w:p>
          <w:p>
            <w:pPr>
              <w:jc w:val="both"/>
              <w:spacing w:after="0" w:line="240" w:lineRule="auto"/>
              <w:rPr>
                <w:sz w:val="24"/>
                <w:szCs w:val="24"/>
              </w:rPr>
            </w:pPr>
            <w:r>
              <w:rPr>
                <w:rFonts w:ascii="Times New Roman" w:hAnsi="Times New Roman" w:cs="Times New Roman"/>
                <w:color w:val="#000000"/>
                <w:sz w:val="24"/>
                <w:szCs w:val="24"/>
              </w:rPr>
              <w:t> потери. Изменения политической карты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2214.5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развитияе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995.77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8698.7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2056.9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1786.4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94.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1062.5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473"/>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советской власти к партийным структурам. Экономическая разруха. Размывание слоя кадровых</w:t>
            </w:r>
          </w:p>
          <w:p>
            <w:pPr>
              <w:jc w:val="left"/>
              <w:spacing w:after="0" w:line="240" w:lineRule="auto"/>
              <w:rPr>
                <w:sz w:val="24"/>
                <w:szCs w:val="24"/>
              </w:rPr>
            </w:pPr>
            <w:r>
              <w:rPr>
                <w:rFonts w:ascii="Times New Roman" w:hAnsi="Times New Roman" w:cs="Times New Roman"/>
                <w:color w:val="#000000"/>
                <w:sz w:val="24"/>
                <w:szCs w:val="24"/>
              </w:rPr>
              <w:t> рабочих. Голод 1921–1922 гг. «Помгол» и его деятельность. Нарастание социальной напряженности. Крестьянские восстания в Сибири, Поволжье и на Тамбовщине. Кронштадтское восстание.Выбор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w:t>
            </w:r>
          </w:p>
          <w:p>
            <w:pPr>
              <w:jc w:val="left"/>
              <w:spacing w:after="0" w:line="240" w:lineRule="auto"/>
              <w:rPr>
                <w:sz w:val="24"/>
                <w:szCs w:val="24"/>
              </w:rPr>
            </w:pPr>
            <w:r>
              <w:rPr>
                <w:rFonts w:ascii="Times New Roman" w:hAnsi="Times New Roman" w:cs="Times New Roman"/>
                <w:color w:val="#000000"/>
                <w:sz w:val="24"/>
                <w:szCs w:val="24"/>
              </w:rPr>
              <w:t> Разрешение в мелкой промышленности частно-коммерческих отношений.</w:t>
            </w:r>
          </w:p>
          <w:p>
            <w:pPr>
              <w:jc w:val="left"/>
              <w:spacing w:after="0" w:line="240" w:lineRule="auto"/>
              <w:rPr>
                <w:sz w:val="24"/>
                <w:szCs w:val="24"/>
              </w:rPr>
            </w:pPr>
            <w:r>
              <w:rPr>
                <w:rFonts w:ascii="Times New Roman" w:hAnsi="Times New Roman" w:cs="Times New Roman"/>
                <w:color w:val="#000000"/>
                <w:sz w:val="24"/>
                <w:szCs w:val="24"/>
              </w:rPr>
              <w:t>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3950.1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w:t>
            </w:r>
          </w:p>
          <w:p>
            <w:pPr>
              <w:jc w:val="left"/>
              <w:spacing w:after="0" w:line="240" w:lineRule="auto"/>
              <w:rPr>
                <w:sz w:val="24"/>
                <w:szCs w:val="24"/>
              </w:rPr>
            </w:pPr>
            <w:r>
              <w:rPr>
                <w:rFonts w:ascii="Times New Roman" w:hAnsi="Times New Roman" w:cs="Times New Roman"/>
                <w:color w:val="#000000"/>
                <w:sz w:val="24"/>
                <w:szCs w:val="24"/>
              </w:rPr>
              <w:t>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2092.1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w:t>
            </w:r>
          </w:p>
          <w:p>
            <w:pPr>
              <w:jc w:val="left"/>
              <w:spacing w:after="0" w:line="240" w:lineRule="auto"/>
              <w:rPr>
                <w:sz w:val="24"/>
                <w:szCs w:val="24"/>
              </w:rPr>
            </w:pPr>
            <w:r>
              <w:rPr>
                <w:rFonts w:ascii="Times New Roman" w:hAnsi="Times New Roman" w:cs="Times New Roman"/>
                <w:color w:val="#000000"/>
                <w:sz w:val="24"/>
                <w:szCs w:val="24"/>
              </w:rPr>
              <w:t>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7075.9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w:t>
            </w:r>
          </w:p>
          <w:p>
            <w:pPr>
              <w:jc w:val="left"/>
              <w:spacing w:after="0" w:line="240" w:lineRule="auto"/>
              <w:rPr>
                <w:sz w:val="24"/>
                <w:szCs w:val="24"/>
              </w:rPr>
            </w:pPr>
            <w:r>
              <w:rPr>
                <w:rFonts w:ascii="Times New Roman" w:hAnsi="Times New Roman" w:cs="Times New Roman"/>
                <w:color w:val="#000000"/>
                <w:sz w:val="24"/>
                <w:szCs w:val="24"/>
              </w:rPr>
              <w:t>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w:t>
            </w:r>
          </w:p>
          <w:p>
            <w:pPr>
              <w:jc w:val="left"/>
              <w:spacing w:after="0" w:line="240" w:lineRule="auto"/>
              <w:rPr>
                <w:sz w:val="24"/>
                <w:szCs w:val="24"/>
              </w:rPr>
            </w:pPr>
            <w:r>
              <w:rPr>
                <w:rFonts w:ascii="Times New Roman" w:hAnsi="Times New Roman" w:cs="Times New Roman"/>
                <w:color w:val="#000000"/>
                <w:sz w:val="24"/>
                <w:szCs w:val="24"/>
              </w:rPr>
              <w:t>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01"/>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Гланвые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2144.4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27.4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5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2023-2024_ФГОС3++2023_Бак-ОФО-Ф(Ф)(23)_plx_История России</dc:title>
  <dc:creator>FastReport.NET</dc:creator>
</cp:coreProperties>
</file>